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52F72" w:rsidRDefault="008841C4" w:rsidP="00475F64">
      <w:pPr>
        <w:rPr>
          <w:rFonts w:ascii="Arial" w:hAnsi="Arial" w:cs="Arial"/>
          <w:sz w:val="16"/>
          <w:szCs w:val="16"/>
          <w:lang w:val="ru-RU"/>
        </w:rPr>
      </w:pPr>
      <w:r>
        <w:rPr>
          <w:lang w:val="ru-RU"/>
        </w:rPr>
        <w:drawing>
          <wp:anchor distT="0" distB="0" distL="114300" distR="114300" simplePos="0" relativeHeight="251659264" behindDoc="1" locked="0" layoutInCell="1" allowOverlap="1" wp14:anchorId="43FBA1B4" wp14:editId="277745D1">
            <wp:simplePos x="0" y="0"/>
            <wp:positionH relativeFrom="column">
              <wp:posOffset>-257175</wp:posOffset>
            </wp:positionH>
            <wp:positionV relativeFrom="paragraph">
              <wp:posOffset>-1109345</wp:posOffset>
            </wp:positionV>
            <wp:extent cx="6824980" cy="1108710"/>
            <wp:effectExtent l="19050" t="0" r="0" b="0"/>
            <wp:wrapNone/>
            <wp:docPr id="3" name="Рисунок 3" descr="Бланк 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 у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98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4E4" w:rsidRDefault="00E274E4" w:rsidP="00475F64">
      <w:pPr>
        <w:rPr>
          <w:rFonts w:ascii="Arial" w:hAnsi="Arial" w:cs="Arial"/>
          <w:sz w:val="16"/>
          <w:szCs w:val="16"/>
          <w:lang w:val="ru-RU"/>
        </w:rPr>
      </w:pPr>
    </w:p>
    <w:p w:rsidR="003B7362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  <w:r>
        <w:rPr>
          <w:rFonts w:ascii="Arial" w:hAnsi="Arial" w:cs="Arial"/>
          <w:b/>
          <w:bCs/>
          <w:iCs/>
          <w:szCs w:val="24"/>
          <w:lang w:val="ru-RU"/>
        </w:rPr>
        <w:t>Сообщение об обнаружении (выявлении) неточных, неполных и (или) недостоверных сведений в раскрываемой информации.</w:t>
      </w:r>
    </w:p>
    <w:p w:rsidR="002076DC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</w:p>
    <w:p w:rsidR="002076DC" w:rsidRDefault="002076DC" w:rsidP="002076DC">
      <w:pPr>
        <w:jc w:val="center"/>
        <w:rPr>
          <w:rFonts w:ascii="Arial" w:hAnsi="Arial" w:cs="Arial"/>
          <w:iCs/>
          <w:szCs w:val="24"/>
          <w:lang w:val="ru-RU"/>
        </w:rPr>
      </w:pPr>
    </w:p>
    <w:p w:rsidR="007567C8" w:rsidRPr="002076DC" w:rsidRDefault="002076DC" w:rsidP="007567C8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</w:t>
      </w:r>
      <w:r w:rsidR="001108E4">
        <w:rPr>
          <w:rFonts w:ascii="Arial" w:hAnsi="Arial" w:cs="Arial"/>
          <w:iCs/>
          <w:szCs w:val="24"/>
          <w:lang w:val="ru-RU"/>
        </w:rPr>
        <w:t>Сообщаем</w:t>
      </w:r>
      <w:r>
        <w:rPr>
          <w:rFonts w:ascii="Arial" w:hAnsi="Arial" w:cs="Arial"/>
          <w:iCs/>
          <w:szCs w:val="24"/>
          <w:lang w:val="ru-RU"/>
        </w:rPr>
        <w:t xml:space="preserve">, что </w:t>
      </w:r>
      <w:r w:rsidR="008841C4">
        <w:rPr>
          <w:rFonts w:ascii="Arial" w:hAnsi="Arial" w:cs="Arial"/>
          <w:iCs/>
          <w:szCs w:val="24"/>
          <w:lang w:val="ru-RU"/>
        </w:rPr>
        <w:t>2</w:t>
      </w:r>
      <w:r w:rsidR="00C671C1">
        <w:rPr>
          <w:rFonts w:ascii="Arial" w:hAnsi="Arial" w:cs="Arial"/>
          <w:iCs/>
          <w:szCs w:val="24"/>
          <w:lang w:val="ru-RU"/>
        </w:rPr>
        <w:t>4</w:t>
      </w:r>
      <w:bookmarkStart w:id="0" w:name="_GoBack"/>
      <w:bookmarkEnd w:id="0"/>
      <w:r>
        <w:rPr>
          <w:rFonts w:ascii="Arial" w:hAnsi="Arial" w:cs="Arial"/>
          <w:iCs/>
          <w:szCs w:val="24"/>
          <w:lang w:val="ru-RU"/>
        </w:rPr>
        <w:t xml:space="preserve"> декабря 2021 года были выявлены неточности в отчете по форме 0420514 «Расчет размера собственных средств управляющей компании инвестиционных фондов, паевых инвестиционных фондов и негосударственных пенсионных </w:t>
      </w:r>
      <w:r w:rsidRPr="00D94CB7">
        <w:rPr>
          <w:rFonts w:ascii="Arial" w:hAnsi="Arial" w:cs="Arial"/>
          <w:iCs/>
          <w:szCs w:val="24"/>
          <w:lang w:val="ru-RU"/>
        </w:rPr>
        <w:t xml:space="preserve">фондов» </w:t>
      </w:r>
      <w:r w:rsidR="001108E4" w:rsidRPr="00D94CB7">
        <w:rPr>
          <w:rFonts w:ascii="Arial" w:hAnsi="Arial" w:cs="Arial"/>
          <w:iCs/>
          <w:szCs w:val="24"/>
          <w:lang w:val="ru-RU"/>
        </w:rPr>
        <w:t xml:space="preserve">(далее – Отчет) </w:t>
      </w:r>
      <w:r w:rsidRPr="00D94CB7">
        <w:rPr>
          <w:rFonts w:ascii="Arial" w:hAnsi="Arial" w:cs="Arial"/>
          <w:iCs/>
          <w:szCs w:val="24"/>
          <w:lang w:val="ru-RU"/>
        </w:rPr>
        <w:t xml:space="preserve">по состоянию на </w:t>
      </w:r>
      <w:r w:rsidR="007567C8">
        <w:rPr>
          <w:rFonts w:ascii="Arial" w:hAnsi="Arial" w:cs="Arial"/>
          <w:iCs/>
          <w:szCs w:val="24"/>
          <w:lang w:val="ru-RU"/>
        </w:rPr>
        <w:t>3</w:t>
      </w:r>
      <w:r w:rsidR="00621BD6">
        <w:rPr>
          <w:rFonts w:ascii="Arial" w:hAnsi="Arial" w:cs="Arial"/>
          <w:iCs/>
          <w:szCs w:val="24"/>
          <w:lang w:val="ru-RU"/>
        </w:rPr>
        <w:t>0</w:t>
      </w:r>
      <w:r w:rsidRPr="00D94CB7">
        <w:rPr>
          <w:rFonts w:ascii="Arial" w:hAnsi="Arial" w:cs="Arial"/>
          <w:iCs/>
          <w:szCs w:val="24"/>
          <w:lang w:val="ru-RU"/>
        </w:rPr>
        <w:t>.</w:t>
      </w:r>
      <w:r w:rsidR="008841C4" w:rsidRPr="00D94CB7">
        <w:rPr>
          <w:rFonts w:ascii="Arial" w:hAnsi="Arial" w:cs="Arial"/>
          <w:iCs/>
          <w:szCs w:val="24"/>
          <w:lang w:val="ru-RU"/>
        </w:rPr>
        <w:t>0</w:t>
      </w:r>
      <w:r w:rsidR="00621BD6">
        <w:rPr>
          <w:rFonts w:ascii="Arial" w:hAnsi="Arial" w:cs="Arial"/>
          <w:iCs/>
          <w:szCs w:val="24"/>
          <w:lang w:val="ru-RU"/>
        </w:rPr>
        <w:t>9</w:t>
      </w:r>
      <w:r w:rsidRPr="00D94CB7">
        <w:rPr>
          <w:rFonts w:ascii="Arial" w:hAnsi="Arial" w:cs="Arial"/>
          <w:iCs/>
          <w:szCs w:val="24"/>
          <w:lang w:val="ru-RU"/>
        </w:rPr>
        <w:t>.202</w:t>
      </w:r>
      <w:r w:rsidR="001E64C4">
        <w:rPr>
          <w:rFonts w:ascii="Arial" w:hAnsi="Arial" w:cs="Arial"/>
          <w:iCs/>
          <w:szCs w:val="24"/>
          <w:lang w:val="ru-RU"/>
        </w:rPr>
        <w:t>0</w:t>
      </w:r>
      <w:r w:rsidRPr="00D94CB7">
        <w:rPr>
          <w:rFonts w:ascii="Arial" w:hAnsi="Arial" w:cs="Arial"/>
          <w:iCs/>
          <w:szCs w:val="24"/>
          <w:lang w:val="ru-RU"/>
        </w:rPr>
        <w:t>г.</w:t>
      </w:r>
      <w:r w:rsidR="001108E4" w:rsidRPr="00D94CB7">
        <w:rPr>
          <w:rFonts w:ascii="Arial" w:hAnsi="Arial" w:cs="Arial"/>
          <w:iCs/>
          <w:szCs w:val="24"/>
          <w:lang w:val="ru-RU"/>
        </w:rPr>
        <w:t>, который размещен по адресу:</w:t>
      </w:r>
      <w:r w:rsidR="007567C8">
        <w:rPr>
          <w:rFonts w:ascii="Arial" w:hAnsi="Arial" w:cs="Arial"/>
          <w:iCs/>
          <w:szCs w:val="24"/>
          <w:lang w:val="ru-RU"/>
        </w:rPr>
        <w:t xml:space="preserve"> </w:t>
      </w:r>
      <w:hyperlink r:id="rId8" w:history="1">
        <w:r w:rsidR="001E64C4" w:rsidRPr="009B44CB">
          <w:rPr>
            <w:rStyle w:val="a3"/>
            <w:rFonts w:ascii="Arial" w:hAnsi="Arial" w:cs="Arial"/>
            <w:iCs/>
            <w:szCs w:val="24"/>
            <w:lang w:val="ru-RU"/>
          </w:rPr>
          <w:t>http://uk-sgs.ru/?docs=1&amp;detail=150</w:t>
        </w:r>
      </w:hyperlink>
      <w:r w:rsidR="001E64C4">
        <w:rPr>
          <w:rFonts w:ascii="Arial" w:hAnsi="Arial" w:cs="Arial"/>
          <w:iCs/>
          <w:szCs w:val="24"/>
          <w:lang w:val="ru-RU"/>
        </w:rPr>
        <w:t xml:space="preserve"> </w:t>
      </w:r>
    </w:p>
    <w:p w:rsidR="002076DC" w:rsidRPr="00D94CB7" w:rsidRDefault="002076DC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В Отчет внесены следующие изменения:</w:t>
      </w:r>
    </w:p>
    <w:p w:rsidR="008841C4" w:rsidRDefault="008841C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3059"/>
        <w:gridCol w:w="3053"/>
        <w:gridCol w:w="3606"/>
      </w:tblGrid>
      <w:tr w:rsidR="00621BD6" w:rsidRPr="00621BD6" w:rsidTr="00F00058">
        <w:trPr>
          <w:trHeight w:val="415"/>
        </w:trPr>
        <w:tc>
          <w:tcPr>
            <w:tcW w:w="3115" w:type="dxa"/>
            <w:vAlign w:val="center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b/>
                <w:iCs/>
                <w:szCs w:val="24"/>
                <w:lang w:val="ru-RU"/>
              </w:rPr>
              <w:t>Показатель</w:t>
            </w:r>
          </w:p>
        </w:tc>
        <w:tc>
          <w:tcPr>
            <w:tcW w:w="3115" w:type="dxa"/>
            <w:vAlign w:val="center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b/>
                <w:iCs/>
                <w:szCs w:val="24"/>
                <w:lang w:val="ru-RU"/>
              </w:rPr>
              <w:t>Неверное значение</w:t>
            </w:r>
          </w:p>
        </w:tc>
        <w:tc>
          <w:tcPr>
            <w:tcW w:w="3692" w:type="dxa"/>
            <w:vAlign w:val="center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b/>
                <w:iCs/>
                <w:szCs w:val="24"/>
                <w:lang w:val="ru-RU"/>
              </w:rPr>
              <w:t>Верное значение</w:t>
            </w:r>
          </w:p>
        </w:tc>
      </w:tr>
      <w:tr w:rsidR="00621BD6" w:rsidRPr="00621BD6" w:rsidTr="00F00058"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06 Общая величина обязательств,</w:t>
            </w:r>
          </w:p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5 097 553,62</w:t>
            </w:r>
          </w:p>
        </w:tc>
        <w:tc>
          <w:tcPr>
            <w:tcW w:w="3692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4 889 084,87</w:t>
            </w:r>
          </w:p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621BD6" w:rsidRPr="00621BD6" w:rsidTr="00F00058"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06 Общая величина обязательств,</w:t>
            </w:r>
          </w:p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графа 4 Сумма (стоимость, величина) на предыдущую отчетную дату</w:t>
            </w:r>
          </w:p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4 839 943,74</w:t>
            </w:r>
          </w:p>
        </w:tc>
        <w:tc>
          <w:tcPr>
            <w:tcW w:w="3692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4 568 116,81</w:t>
            </w:r>
          </w:p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621BD6" w:rsidRPr="00621BD6" w:rsidTr="00F00058">
        <w:trPr>
          <w:trHeight w:val="1321"/>
        </w:trPr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07 Размер собственных средств  ,</w:t>
            </w:r>
          </w:p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27 138 059,02</w:t>
            </w:r>
          </w:p>
        </w:tc>
        <w:tc>
          <w:tcPr>
            <w:tcW w:w="3692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27 346 527,77</w:t>
            </w:r>
          </w:p>
        </w:tc>
      </w:tr>
      <w:tr w:rsidR="00621BD6" w:rsidRPr="00621BD6" w:rsidTr="00F00058"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07 Размер собственных средств  ,</w:t>
            </w:r>
          </w:p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графа 4 Сумма (стоимость, величина) на предыдущую отчетную дату</w:t>
            </w:r>
          </w:p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28 812 827,35</w:t>
            </w:r>
          </w:p>
        </w:tc>
        <w:tc>
          <w:tcPr>
            <w:tcW w:w="3692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29 084 654,28</w:t>
            </w:r>
          </w:p>
        </w:tc>
      </w:tr>
      <w:tr w:rsidR="00621BD6" w:rsidRPr="00621BD6" w:rsidTr="00F00058"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1 Резерв ежегодных отпусков на 30.09.2020 графа 10 доля от общей величины обязательств</w:t>
            </w:r>
          </w:p>
        </w:tc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10,07</w:t>
            </w:r>
          </w:p>
        </w:tc>
        <w:tc>
          <w:tcPr>
            <w:tcW w:w="3692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10,5</w:t>
            </w:r>
          </w:p>
        </w:tc>
      </w:tr>
      <w:tr w:rsidR="00621BD6" w:rsidRPr="00621BD6" w:rsidTr="00F00058"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Подраздел 05.01  Кредиторская задолженность (кредитор-физическое лицо) строка 2 Резерв ежегодных отпусков на 30.09.2020 графа 10 доля от общей величины обязательств</w:t>
            </w:r>
          </w:p>
        </w:tc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5,3</w:t>
            </w:r>
          </w:p>
        </w:tc>
        <w:tc>
          <w:tcPr>
            <w:tcW w:w="3692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5,52</w:t>
            </w:r>
          </w:p>
        </w:tc>
      </w:tr>
      <w:tr w:rsidR="00621BD6" w:rsidRPr="00621BD6" w:rsidTr="00F00058"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3 Резерв ежегодных отпусков на 30.09.2020 графа 10 доля от общей величины обязательств</w:t>
            </w:r>
          </w:p>
        </w:tc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9,4</w:t>
            </w:r>
          </w:p>
        </w:tc>
        <w:tc>
          <w:tcPr>
            <w:tcW w:w="3692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9,81</w:t>
            </w:r>
          </w:p>
        </w:tc>
      </w:tr>
      <w:tr w:rsidR="00621BD6" w:rsidRPr="00621BD6" w:rsidTr="00F00058"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4 Резерв ежегодных отпусков на 30.09.2020 графа 10 доля от общей величины обязательств</w:t>
            </w:r>
          </w:p>
        </w:tc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12,03</w:t>
            </w:r>
          </w:p>
        </w:tc>
        <w:tc>
          <w:tcPr>
            <w:tcW w:w="3692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12,55</w:t>
            </w:r>
          </w:p>
        </w:tc>
      </w:tr>
      <w:tr w:rsidR="00621BD6" w:rsidRPr="00621BD6" w:rsidTr="00F00058"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5 Резерв ежегодных отпусков на 30.09.2020 графа 10 доля от общей величины обязательств</w:t>
            </w:r>
          </w:p>
        </w:tc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2,48</w:t>
            </w:r>
          </w:p>
        </w:tc>
        <w:tc>
          <w:tcPr>
            <w:tcW w:w="3692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2,59</w:t>
            </w:r>
          </w:p>
        </w:tc>
      </w:tr>
      <w:tr w:rsidR="00621BD6" w:rsidRPr="00621BD6" w:rsidTr="00F00058"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6 Резерв ежегодных отпусков на 30.09.2020 графа 10 доля от общей величины обязательств</w:t>
            </w:r>
          </w:p>
        </w:tc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2,78</w:t>
            </w:r>
          </w:p>
        </w:tc>
        <w:tc>
          <w:tcPr>
            <w:tcW w:w="3692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2,9</w:t>
            </w:r>
          </w:p>
        </w:tc>
      </w:tr>
      <w:tr w:rsidR="00621BD6" w:rsidRPr="00621BD6" w:rsidTr="00F00058"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7 Резерв ежегодных отпусков на 30.09.2020 графа 10 доля от</w:t>
            </w:r>
          </w:p>
        </w:tc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2,47</w:t>
            </w:r>
          </w:p>
        </w:tc>
        <w:tc>
          <w:tcPr>
            <w:tcW w:w="3692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2,58</w:t>
            </w:r>
          </w:p>
        </w:tc>
      </w:tr>
      <w:tr w:rsidR="00621BD6" w:rsidRPr="00621BD6" w:rsidTr="00F00058"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8 Заработная плата за сентябрь 2020,графа 10 доля от общей величины обязательств</w:t>
            </w:r>
          </w:p>
        </w:tc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2,15</w:t>
            </w:r>
          </w:p>
        </w:tc>
        <w:tc>
          <w:tcPr>
            <w:tcW w:w="3692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2,25</w:t>
            </w:r>
          </w:p>
        </w:tc>
      </w:tr>
      <w:tr w:rsidR="00621BD6" w:rsidRPr="00621BD6" w:rsidTr="00F00058"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 xml:space="preserve">Подраздел 05.01  </w:t>
            </w:r>
            <w:r w:rsidRPr="00621BD6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Кредиторская задолженность (кредитор-физическое лицо) строка 9 Заработная плата за сентябрь 2020,графа 10 доля от общей величины обязательств</w:t>
            </w:r>
          </w:p>
        </w:tc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1,32</w:t>
            </w:r>
          </w:p>
        </w:tc>
        <w:tc>
          <w:tcPr>
            <w:tcW w:w="3692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1,38</w:t>
            </w:r>
          </w:p>
        </w:tc>
      </w:tr>
      <w:tr w:rsidR="00621BD6" w:rsidRPr="00621BD6" w:rsidTr="00F00058"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10 Заработная плата за сентябрь 2020,графа 10 доля от общей величины обязательств</w:t>
            </w:r>
          </w:p>
        </w:tc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1,32</w:t>
            </w:r>
          </w:p>
        </w:tc>
        <w:tc>
          <w:tcPr>
            <w:tcW w:w="3692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1,38</w:t>
            </w:r>
          </w:p>
        </w:tc>
      </w:tr>
      <w:tr w:rsidR="00621BD6" w:rsidRPr="00621BD6" w:rsidTr="00F00058"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11 Заработная плата за сентябрь 2020,графа 10 доля от общей величины обязательств</w:t>
            </w:r>
          </w:p>
        </w:tc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1,02</w:t>
            </w:r>
          </w:p>
        </w:tc>
        <w:tc>
          <w:tcPr>
            <w:tcW w:w="3692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1,06</w:t>
            </w:r>
          </w:p>
        </w:tc>
      </w:tr>
      <w:tr w:rsidR="00621BD6" w:rsidRPr="00621BD6" w:rsidTr="00F00058"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 Итого, графа 9 сумма задолженности</w:t>
            </w:r>
          </w:p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50,37</w:t>
            </w:r>
          </w:p>
        </w:tc>
        <w:tc>
          <w:tcPr>
            <w:tcW w:w="3692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52,51</w:t>
            </w:r>
          </w:p>
        </w:tc>
      </w:tr>
      <w:tr w:rsidR="00621BD6" w:rsidRPr="00621BD6" w:rsidTr="00F00058">
        <w:trPr>
          <w:trHeight w:val="1462"/>
        </w:trPr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1 Налог на доходы физических лиц,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1,88</w:t>
            </w:r>
          </w:p>
        </w:tc>
        <w:tc>
          <w:tcPr>
            <w:tcW w:w="3692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1,96</w:t>
            </w:r>
          </w:p>
        </w:tc>
      </w:tr>
      <w:tr w:rsidR="00621BD6" w:rsidRPr="00621BD6" w:rsidTr="00F00058">
        <w:trPr>
          <w:trHeight w:val="1462"/>
        </w:trPr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2 Страховые взносы на обязательное пенсионное страхование,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1,59</w:t>
            </w:r>
          </w:p>
        </w:tc>
        <w:tc>
          <w:tcPr>
            <w:tcW w:w="3692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1,65</w:t>
            </w:r>
          </w:p>
        </w:tc>
      </w:tr>
      <w:tr w:rsidR="00621BD6" w:rsidRPr="00621BD6" w:rsidTr="00F00058">
        <w:trPr>
          <w:trHeight w:val="1462"/>
        </w:trPr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3 Налог на имущество, пени,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1,04</w:t>
            </w:r>
          </w:p>
        </w:tc>
        <w:tc>
          <w:tcPr>
            <w:tcW w:w="3692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1,08</w:t>
            </w:r>
          </w:p>
        </w:tc>
      </w:tr>
      <w:tr w:rsidR="00621BD6" w:rsidRPr="00621BD6" w:rsidTr="00F00058">
        <w:trPr>
          <w:trHeight w:val="1462"/>
        </w:trPr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Подраздел 05.02  Кредиторская задолженность (кредитор-юридическое лицо) строка 4 Резерв по страховым взносам,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6,99</w:t>
            </w:r>
          </w:p>
        </w:tc>
        <w:tc>
          <w:tcPr>
            <w:tcW w:w="3692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7,29</w:t>
            </w:r>
          </w:p>
        </w:tc>
      </w:tr>
      <w:tr w:rsidR="00621BD6" w:rsidRPr="00621BD6" w:rsidTr="00F00058">
        <w:trPr>
          <w:trHeight w:val="1692"/>
        </w:trPr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5 За выполненные кадастровые работы,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2,16</w:t>
            </w:r>
          </w:p>
        </w:tc>
        <w:tc>
          <w:tcPr>
            <w:tcW w:w="3692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2,25</w:t>
            </w:r>
          </w:p>
        </w:tc>
      </w:tr>
      <w:tr w:rsidR="00621BD6" w:rsidRPr="00621BD6" w:rsidTr="00F00058">
        <w:trPr>
          <w:trHeight w:val="1208"/>
        </w:trPr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 итого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13,65</w:t>
            </w:r>
          </w:p>
        </w:tc>
        <w:tc>
          <w:tcPr>
            <w:tcW w:w="3692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14,23</w:t>
            </w:r>
          </w:p>
        </w:tc>
      </w:tr>
      <w:tr w:rsidR="00621BD6" w:rsidRPr="00621BD6" w:rsidTr="00F00058">
        <w:trPr>
          <w:trHeight w:val="1324"/>
        </w:trPr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1 Отложенные налоговые обязательства, графа 6, доля от общей величины обязательств, в процентах</w:t>
            </w:r>
          </w:p>
        </w:tc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27,72</w:t>
            </w:r>
          </w:p>
        </w:tc>
        <w:tc>
          <w:tcPr>
            <w:tcW w:w="3692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28,91</w:t>
            </w:r>
          </w:p>
        </w:tc>
      </w:tr>
      <w:tr w:rsidR="00621BD6" w:rsidRPr="00621BD6" w:rsidTr="00F00058">
        <w:trPr>
          <w:trHeight w:val="1030"/>
        </w:trPr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2 Арендные обязательства, графа 5, размер обязательства.</w:t>
            </w:r>
          </w:p>
        </w:tc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230 465,5</w:t>
            </w:r>
          </w:p>
        </w:tc>
        <w:tc>
          <w:tcPr>
            <w:tcW w:w="3692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</w:tr>
      <w:tr w:rsidR="00621BD6" w:rsidRPr="00621BD6" w:rsidTr="00F00058">
        <w:trPr>
          <w:trHeight w:val="942"/>
        </w:trPr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2 Арендные обязательства, графа 6, доля от общей величины обязательств, в процентах</w:t>
            </w:r>
          </w:p>
        </w:tc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4,52</w:t>
            </w:r>
          </w:p>
        </w:tc>
        <w:tc>
          <w:tcPr>
            <w:tcW w:w="3692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</w:tr>
      <w:tr w:rsidR="00621BD6" w:rsidRPr="00621BD6" w:rsidTr="00F00058"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итого, графа 5, размер обязательства.</w:t>
            </w:r>
          </w:p>
        </w:tc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1 643 660,95</w:t>
            </w:r>
          </w:p>
        </w:tc>
        <w:tc>
          <w:tcPr>
            <w:tcW w:w="3692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1 413 195,45</w:t>
            </w:r>
          </w:p>
        </w:tc>
      </w:tr>
      <w:tr w:rsidR="00621BD6" w:rsidRPr="00621BD6" w:rsidTr="00F00058"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итого, графа 6, доля от общей величины обязательств, в процентах</w:t>
            </w:r>
          </w:p>
        </w:tc>
        <w:tc>
          <w:tcPr>
            <w:tcW w:w="3115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32,24</w:t>
            </w:r>
          </w:p>
        </w:tc>
        <w:tc>
          <w:tcPr>
            <w:tcW w:w="3692" w:type="dxa"/>
          </w:tcPr>
          <w:p w:rsidR="00621BD6" w:rsidRPr="00621BD6" w:rsidRDefault="00621BD6" w:rsidP="00621BD6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621BD6">
              <w:rPr>
                <w:rFonts w:ascii="Arial" w:hAnsi="Arial" w:cs="Arial"/>
                <w:iCs/>
                <w:szCs w:val="24"/>
                <w:lang w:val="ru-RU"/>
              </w:rPr>
              <w:t>28,91</w:t>
            </w:r>
          </w:p>
        </w:tc>
      </w:tr>
    </w:tbl>
    <w:p w:rsidR="008841C4" w:rsidRDefault="008841C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3B7362" w:rsidRPr="003D00DF" w:rsidRDefault="001108E4" w:rsidP="007567C8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Настоящее сообщение размещается в связи с изменением (корректировкой) ранее размещенной информации. Новая информация размещена по адресу: </w:t>
      </w:r>
      <w:hyperlink r:id="rId9" w:history="1">
        <w:r w:rsidR="00621BD6" w:rsidRPr="009B44CB">
          <w:rPr>
            <w:rStyle w:val="a3"/>
            <w:rFonts w:ascii="Arial" w:hAnsi="Arial" w:cs="Arial"/>
            <w:iCs/>
            <w:szCs w:val="24"/>
            <w:lang w:val="ru-RU"/>
          </w:rPr>
          <w:t>http://uk-sgs.ru/?docs=1&amp;detail=184</w:t>
        </w:r>
      </w:hyperlink>
      <w:r w:rsidR="00621BD6">
        <w:rPr>
          <w:rFonts w:ascii="Arial" w:hAnsi="Arial" w:cs="Arial"/>
          <w:iCs/>
          <w:szCs w:val="24"/>
          <w:lang w:val="ru-RU"/>
        </w:rPr>
        <w:t xml:space="preserve"> </w:t>
      </w:r>
    </w:p>
    <w:sectPr w:rsidR="003B7362" w:rsidRPr="003D00DF" w:rsidSect="008841C4">
      <w:footnotePr>
        <w:pos w:val="beneathText"/>
      </w:footnotePr>
      <w:pgSz w:w="11907" w:h="16839" w:code="9"/>
      <w:pgMar w:top="1985" w:right="850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1B7" w:rsidRDefault="000931B7" w:rsidP="00475F64">
      <w:r>
        <w:separator/>
      </w:r>
    </w:p>
  </w:endnote>
  <w:endnote w:type="continuationSeparator" w:id="0">
    <w:p w:rsidR="000931B7" w:rsidRDefault="000931B7" w:rsidP="0047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1B7" w:rsidRDefault="000931B7" w:rsidP="00475F64">
      <w:r>
        <w:separator/>
      </w:r>
    </w:p>
  </w:footnote>
  <w:footnote w:type="continuationSeparator" w:id="0">
    <w:p w:rsidR="000931B7" w:rsidRDefault="000931B7" w:rsidP="0047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284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35FD4"/>
    <w:multiLevelType w:val="hybridMultilevel"/>
    <w:tmpl w:val="02EA13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31117D"/>
    <w:multiLevelType w:val="hybridMultilevel"/>
    <w:tmpl w:val="41E67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8714F9"/>
    <w:multiLevelType w:val="hybridMultilevel"/>
    <w:tmpl w:val="91D2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64C94"/>
    <w:multiLevelType w:val="hybridMultilevel"/>
    <w:tmpl w:val="5626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94BBF"/>
    <w:multiLevelType w:val="hybridMultilevel"/>
    <w:tmpl w:val="82186A1E"/>
    <w:lvl w:ilvl="0" w:tplc="1A5241B0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312FC"/>
    <w:multiLevelType w:val="hybridMultilevel"/>
    <w:tmpl w:val="07C671DC"/>
    <w:lvl w:ilvl="0" w:tplc="B122D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F60"/>
    <w:rsid w:val="00007CD0"/>
    <w:rsid w:val="00021D85"/>
    <w:rsid w:val="00063BEC"/>
    <w:rsid w:val="00082D41"/>
    <w:rsid w:val="00092440"/>
    <w:rsid w:val="000931B7"/>
    <w:rsid w:val="00094F49"/>
    <w:rsid w:val="000A7084"/>
    <w:rsid w:val="000D5AA6"/>
    <w:rsid w:val="00105A16"/>
    <w:rsid w:val="00107654"/>
    <w:rsid w:val="001108E4"/>
    <w:rsid w:val="00113276"/>
    <w:rsid w:val="00141F60"/>
    <w:rsid w:val="00144E02"/>
    <w:rsid w:val="00167FA6"/>
    <w:rsid w:val="001E64C4"/>
    <w:rsid w:val="001F41C7"/>
    <w:rsid w:val="002076DC"/>
    <w:rsid w:val="002364CF"/>
    <w:rsid w:val="00263EC8"/>
    <w:rsid w:val="0028121B"/>
    <w:rsid w:val="002949B4"/>
    <w:rsid w:val="002A4976"/>
    <w:rsid w:val="002A6818"/>
    <w:rsid w:val="002A7290"/>
    <w:rsid w:val="002A7644"/>
    <w:rsid w:val="002C0826"/>
    <w:rsid w:val="002D3B5E"/>
    <w:rsid w:val="002F7993"/>
    <w:rsid w:val="00305362"/>
    <w:rsid w:val="00361E87"/>
    <w:rsid w:val="003A2002"/>
    <w:rsid w:val="003B7362"/>
    <w:rsid w:val="003C3E20"/>
    <w:rsid w:val="003D00DF"/>
    <w:rsid w:val="00475F64"/>
    <w:rsid w:val="004B0FD5"/>
    <w:rsid w:val="004B18D7"/>
    <w:rsid w:val="004B6164"/>
    <w:rsid w:val="004F27EA"/>
    <w:rsid w:val="004F7B80"/>
    <w:rsid w:val="00501D18"/>
    <w:rsid w:val="00554A12"/>
    <w:rsid w:val="0056046C"/>
    <w:rsid w:val="00587BB4"/>
    <w:rsid w:val="00591570"/>
    <w:rsid w:val="005972D8"/>
    <w:rsid w:val="005B1CAC"/>
    <w:rsid w:val="005B302B"/>
    <w:rsid w:val="005B5829"/>
    <w:rsid w:val="005F4C25"/>
    <w:rsid w:val="005F7423"/>
    <w:rsid w:val="00617899"/>
    <w:rsid w:val="00621BD6"/>
    <w:rsid w:val="00667FDE"/>
    <w:rsid w:val="0067412C"/>
    <w:rsid w:val="0069133D"/>
    <w:rsid w:val="006E3377"/>
    <w:rsid w:val="006E7404"/>
    <w:rsid w:val="00723C45"/>
    <w:rsid w:val="00737E74"/>
    <w:rsid w:val="007466BB"/>
    <w:rsid w:val="007561C2"/>
    <w:rsid w:val="007567C8"/>
    <w:rsid w:val="00762BC6"/>
    <w:rsid w:val="007C1204"/>
    <w:rsid w:val="007C33B7"/>
    <w:rsid w:val="007C50F2"/>
    <w:rsid w:val="007D16D0"/>
    <w:rsid w:val="007D1DEF"/>
    <w:rsid w:val="00821577"/>
    <w:rsid w:val="008257F6"/>
    <w:rsid w:val="00830631"/>
    <w:rsid w:val="008441B2"/>
    <w:rsid w:val="00852F72"/>
    <w:rsid w:val="008615A3"/>
    <w:rsid w:val="00871887"/>
    <w:rsid w:val="008841C4"/>
    <w:rsid w:val="00886481"/>
    <w:rsid w:val="008C7713"/>
    <w:rsid w:val="008E7CC0"/>
    <w:rsid w:val="00905043"/>
    <w:rsid w:val="009141F0"/>
    <w:rsid w:val="00916678"/>
    <w:rsid w:val="00916B8F"/>
    <w:rsid w:val="009209CA"/>
    <w:rsid w:val="009317D6"/>
    <w:rsid w:val="00952E15"/>
    <w:rsid w:val="00976D98"/>
    <w:rsid w:val="009A65CD"/>
    <w:rsid w:val="009B5FD7"/>
    <w:rsid w:val="009D3CAE"/>
    <w:rsid w:val="00A36B8F"/>
    <w:rsid w:val="00A441FC"/>
    <w:rsid w:val="00A553C7"/>
    <w:rsid w:val="00A77FE1"/>
    <w:rsid w:val="00A908CD"/>
    <w:rsid w:val="00A90F48"/>
    <w:rsid w:val="00AC2222"/>
    <w:rsid w:val="00AD554E"/>
    <w:rsid w:val="00AD69D3"/>
    <w:rsid w:val="00AE781A"/>
    <w:rsid w:val="00AF40E8"/>
    <w:rsid w:val="00B13F1B"/>
    <w:rsid w:val="00B31191"/>
    <w:rsid w:val="00B31FBA"/>
    <w:rsid w:val="00BB7DB2"/>
    <w:rsid w:val="00C031CC"/>
    <w:rsid w:val="00C46EA4"/>
    <w:rsid w:val="00C4753E"/>
    <w:rsid w:val="00C670DB"/>
    <w:rsid w:val="00C671C1"/>
    <w:rsid w:val="00C942C3"/>
    <w:rsid w:val="00CB3849"/>
    <w:rsid w:val="00D13AEE"/>
    <w:rsid w:val="00D21AEA"/>
    <w:rsid w:val="00D44171"/>
    <w:rsid w:val="00D80E2E"/>
    <w:rsid w:val="00D94CB7"/>
    <w:rsid w:val="00D965E9"/>
    <w:rsid w:val="00DB0006"/>
    <w:rsid w:val="00DB63B9"/>
    <w:rsid w:val="00DC498E"/>
    <w:rsid w:val="00E12DA5"/>
    <w:rsid w:val="00E274E4"/>
    <w:rsid w:val="00E379DE"/>
    <w:rsid w:val="00E427D6"/>
    <w:rsid w:val="00E5366E"/>
    <w:rsid w:val="00E60165"/>
    <w:rsid w:val="00E97E1E"/>
    <w:rsid w:val="00EC1EE0"/>
    <w:rsid w:val="00EC2924"/>
    <w:rsid w:val="00EE1295"/>
    <w:rsid w:val="00EF44BA"/>
    <w:rsid w:val="00F02B25"/>
    <w:rsid w:val="00F30CC7"/>
    <w:rsid w:val="00F454AE"/>
    <w:rsid w:val="00F5641A"/>
    <w:rsid w:val="00F63226"/>
    <w:rsid w:val="00F94D8B"/>
    <w:rsid w:val="00FA36C1"/>
    <w:rsid w:val="00FA486A"/>
    <w:rsid w:val="00FB4AFB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7D9AE40"/>
  <w15:docId w15:val="{2FBE1CE1-4EC9-4A9B-8720-9EEB4055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54E"/>
    <w:pPr>
      <w:widowControl w:val="0"/>
      <w:suppressAutoHyphens/>
    </w:pPr>
    <w:rPr>
      <w:noProof/>
      <w:kern w:val="1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D554E"/>
  </w:style>
  <w:style w:type="character" w:customStyle="1" w:styleId="WW-Absatz-Standardschriftart">
    <w:name w:val="WW-Absatz-Standardschriftart"/>
    <w:rsid w:val="00AD554E"/>
  </w:style>
  <w:style w:type="character" w:customStyle="1" w:styleId="WW-Absatz-Standardschriftart1">
    <w:name w:val="WW-Absatz-Standardschriftart1"/>
    <w:rsid w:val="00AD554E"/>
  </w:style>
  <w:style w:type="character" w:customStyle="1" w:styleId="WW-Absatz-Standardschriftart11">
    <w:name w:val="WW-Absatz-Standardschriftart11"/>
    <w:rsid w:val="00AD554E"/>
  </w:style>
  <w:style w:type="character" w:customStyle="1" w:styleId="WW-Absatz-Standardschriftart111">
    <w:name w:val="WW-Absatz-Standardschriftart111"/>
    <w:rsid w:val="00AD554E"/>
  </w:style>
  <w:style w:type="character" w:styleId="a3">
    <w:name w:val="Hyperlink"/>
    <w:semiHidden/>
    <w:rsid w:val="00AD554E"/>
    <w:rPr>
      <w:color w:val="000080"/>
      <w:u w:val="single"/>
    </w:rPr>
  </w:style>
  <w:style w:type="paragraph" w:customStyle="1" w:styleId="Heading">
    <w:name w:val="Heading"/>
    <w:basedOn w:val="a"/>
    <w:next w:val="a4"/>
    <w:rsid w:val="00AD554E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semiHidden/>
    <w:rsid w:val="00AD554E"/>
    <w:pPr>
      <w:spacing w:after="120"/>
    </w:pPr>
  </w:style>
  <w:style w:type="paragraph" w:styleId="a5">
    <w:name w:val="List"/>
    <w:basedOn w:val="a4"/>
    <w:semiHidden/>
    <w:rsid w:val="00AD554E"/>
  </w:style>
  <w:style w:type="paragraph" w:customStyle="1" w:styleId="1">
    <w:name w:val="Название объекта1"/>
    <w:basedOn w:val="a"/>
    <w:rsid w:val="00AD554E"/>
    <w:pPr>
      <w:suppressLineNumbers/>
      <w:spacing w:before="120" w:after="120"/>
    </w:pPr>
    <w:rPr>
      <w:i/>
    </w:rPr>
  </w:style>
  <w:style w:type="paragraph" w:customStyle="1" w:styleId="Index">
    <w:name w:val="Index"/>
    <w:basedOn w:val="a"/>
    <w:rsid w:val="00AD554E"/>
    <w:pPr>
      <w:suppressLineNumbers/>
    </w:pPr>
  </w:style>
  <w:style w:type="paragraph" w:styleId="a6">
    <w:name w:val="Title"/>
    <w:basedOn w:val="a"/>
    <w:next w:val="a"/>
    <w:link w:val="a7"/>
    <w:uiPriority w:val="10"/>
    <w:qFormat/>
    <w:rsid w:val="00141F60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10"/>
    <w:rsid w:val="00141F60"/>
    <w:rPr>
      <w:rFonts w:ascii="Calibri" w:eastAsia="MS Gothic" w:hAnsi="Calibri"/>
      <w:b/>
      <w:bCs/>
      <w:noProof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75F64"/>
    <w:rPr>
      <w:noProof/>
      <w:kern w:val="1"/>
      <w:sz w:val="24"/>
      <w:lang w:val="en-US"/>
    </w:rPr>
  </w:style>
  <w:style w:type="paragraph" w:styleId="aa">
    <w:name w:val="footer"/>
    <w:basedOn w:val="a"/>
    <w:link w:val="ab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75F64"/>
    <w:rPr>
      <w:noProof/>
      <w:kern w:val="1"/>
      <w:sz w:val="24"/>
      <w:lang w:val="en-US"/>
    </w:rPr>
  </w:style>
  <w:style w:type="paragraph" w:styleId="ac">
    <w:name w:val="footnote text"/>
    <w:basedOn w:val="a"/>
    <w:link w:val="ad"/>
    <w:uiPriority w:val="99"/>
    <w:semiHidden/>
    <w:unhideWhenUsed/>
    <w:rsid w:val="006E7404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E7404"/>
    <w:rPr>
      <w:noProof/>
      <w:kern w:val="1"/>
      <w:lang w:val="en-US"/>
    </w:rPr>
  </w:style>
  <w:style w:type="character" w:styleId="ae">
    <w:name w:val="footnote reference"/>
    <w:basedOn w:val="a0"/>
    <w:uiPriority w:val="99"/>
    <w:semiHidden/>
    <w:unhideWhenUsed/>
    <w:rsid w:val="006E7404"/>
    <w:rPr>
      <w:vertAlign w:val="superscript"/>
    </w:rPr>
  </w:style>
  <w:style w:type="paragraph" w:styleId="af">
    <w:name w:val="List Paragraph"/>
    <w:basedOn w:val="a"/>
    <w:uiPriority w:val="34"/>
    <w:qFormat/>
    <w:rsid w:val="00107654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7D16D0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1108E4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1108E4"/>
    <w:pPr>
      <w:jc w:val="righ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-sgs.ru/?docs=1&amp;detail=1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k-sgs.ru/?docs=1&amp;detail=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yolky yolky</dc:creator>
  <cp:lastModifiedBy>Симикова Анастасия Александровна</cp:lastModifiedBy>
  <cp:revision>18</cp:revision>
  <cp:lastPrinted>2021-08-27T05:00:00Z</cp:lastPrinted>
  <dcterms:created xsi:type="dcterms:W3CDTF">2020-08-05T08:17:00Z</dcterms:created>
  <dcterms:modified xsi:type="dcterms:W3CDTF">2021-12-30T09:14:00Z</dcterms:modified>
</cp:coreProperties>
</file>